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61" w:rsidRDefault="004B0E40">
      <w:pPr>
        <w:jc w:val="center"/>
      </w:pPr>
      <w:r>
        <w:rPr>
          <w:rFonts w:ascii="宋体" w:hAnsi="宋体" w:hint="eastAsia"/>
          <w:b/>
          <w:bCs/>
          <w:sz w:val="44"/>
          <w:szCs w:val="44"/>
        </w:rPr>
        <w:t>关于报销相关政策制度的解释公告（一）</w:t>
      </w:r>
    </w:p>
    <w:p w:rsidR="00570261" w:rsidRDefault="00570261">
      <w:pPr>
        <w:jc w:val="center"/>
      </w:pPr>
    </w:p>
    <w:p w:rsidR="00570261" w:rsidRDefault="004B0E40" w:rsidP="00C353F9">
      <w:pPr>
        <w:numPr>
          <w:ilvl w:val="0"/>
          <w:numId w:val="1"/>
        </w:numPr>
        <w:spacing w:line="360" w:lineRule="auto"/>
        <w:ind w:firstLineChars="250" w:firstLine="80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原则</w:t>
      </w:r>
    </w:p>
    <w:p w:rsidR="00570261" w:rsidRDefault="004B0E40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本次</w:t>
      </w:r>
      <w:r w:rsidR="00C353F9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放管服</w:t>
      </w:r>
      <w:r w:rsidR="00C353F9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工作遵循科研项目经费从宽，非科研项目经费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公用经费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从严的原则实施。</w:t>
      </w:r>
    </w:p>
    <w:p w:rsidR="00570261" w:rsidRDefault="004B0E40" w:rsidP="00C353F9">
      <w:pPr>
        <w:spacing w:line="360" w:lineRule="auto"/>
        <w:ind w:firstLineChars="250" w:firstLine="80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二、项目经费界定</w:t>
      </w:r>
    </w:p>
    <w:p w:rsidR="00570261" w:rsidRDefault="004B0E40" w:rsidP="00C353F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（一）科研项目经费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科研项目经费仅指项目编码为“</w:t>
      </w:r>
      <w:r>
        <w:rPr>
          <w:rFonts w:ascii="仿宋" w:eastAsia="仿宋" w:hAnsi="仿宋" w:hint="eastAsia"/>
          <w:sz w:val="32"/>
          <w:szCs w:val="32"/>
        </w:rPr>
        <w:t>925</w:t>
      </w:r>
      <w:r>
        <w:rPr>
          <w:rFonts w:ascii="仿宋" w:eastAsia="仿宋" w:hAnsi="仿宋" w:hint="eastAsia"/>
          <w:sz w:val="32"/>
          <w:szCs w:val="32"/>
        </w:rPr>
        <w:t>”、“</w:t>
      </w:r>
      <w:r>
        <w:rPr>
          <w:rFonts w:ascii="仿宋" w:eastAsia="仿宋" w:hAnsi="仿宋" w:hint="eastAsia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”开头的横向课题、纵向课题，其中“</w:t>
      </w:r>
      <w:r>
        <w:rPr>
          <w:rFonts w:ascii="仿宋" w:eastAsia="仿宋" w:hAnsi="仿宋" w:hint="eastAsia"/>
          <w:sz w:val="32"/>
          <w:szCs w:val="32"/>
        </w:rPr>
        <w:t>925</w:t>
      </w:r>
      <w:r>
        <w:rPr>
          <w:rFonts w:ascii="仿宋" w:eastAsia="仿宋" w:hAnsi="仿宋" w:hint="eastAsia"/>
          <w:sz w:val="32"/>
          <w:szCs w:val="32"/>
        </w:rPr>
        <w:t>”“</w:t>
      </w:r>
      <w:r>
        <w:rPr>
          <w:rFonts w:ascii="仿宋" w:eastAsia="仿宋" w:hAnsi="仿宋" w:hint="eastAsia"/>
          <w:sz w:val="32"/>
          <w:szCs w:val="32"/>
        </w:rPr>
        <w:t>325</w:t>
      </w:r>
      <w:r>
        <w:rPr>
          <w:rFonts w:ascii="仿宋" w:eastAsia="仿宋" w:hAnsi="仿宋" w:hint="eastAsia"/>
          <w:sz w:val="32"/>
          <w:szCs w:val="32"/>
        </w:rPr>
        <w:t>”开头为横向课题。</w:t>
      </w:r>
    </w:p>
    <w:p w:rsidR="00570261" w:rsidRDefault="004B0E40" w:rsidP="00C353F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（二）非科研项目经费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非科研项目经费为学校预算安排的各类项目资金，主要包括各单位运行费、“</w:t>
      </w:r>
      <w:r>
        <w:rPr>
          <w:rFonts w:ascii="仿宋" w:eastAsia="仿宋" w:hAnsi="仿宋" w:hint="eastAsia"/>
          <w:sz w:val="32"/>
          <w:szCs w:val="32"/>
        </w:rPr>
        <w:t>314</w:t>
      </w:r>
      <w:r>
        <w:rPr>
          <w:rFonts w:ascii="仿宋" w:eastAsia="仿宋" w:hAnsi="仿宋" w:hint="eastAsia"/>
          <w:sz w:val="32"/>
          <w:szCs w:val="32"/>
        </w:rPr>
        <w:t>”开头的教改专项、“</w:t>
      </w:r>
      <w:r>
        <w:rPr>
          <w:rFonts w:ascii="仿宋" w:eastAsia="仿宋" w:hAnsi="仿宋" w:hint="eastAsia"/>
          <w:sz w:val="32"/>
          <w:szCs w:val="32"/>
        </w:rPr>
        <w:t>315</w:t>
      </w:r>
      <w:r>
        <w:rPr>
          <w:rFonts w:ascii="仿宋" w:eastAsia="仿宋" w:hAnsi="仿宋" w:hint="eastAsia"/>
          <w:sz w:val="32"/>
          <w:szCs w:val="32"/>
        </w:rPr>
        <w:t>”开头的基本科研业务费、“</w:t>
      </w:r>
      <w:r>
        <w:rPr>
          <w:rFonts w:ascii="仿宋" w:eastAsia="仿宋" w:hAnsi="仿宋" w:hint="eastAsia"/>
          <w:sz w:val="32"/>
          <w:szCs w:val="32"/>
        </w:rPr>
        <w:t>316</w:t>
      </w:r>
      <w:r>
        <w:rPr>
          <w:rFonts w:ascii="仿宋" w:eastAsia="仿宋" w:hAnsi="仿宋" w:hint="eastAsia"/>
          <w:sz w:val="32"/>
          <w:szCs w:val="32"/>
        </w:rPr>
        <w:t>”开头的繁荣计划专项资金、“</w:t>
      </w:r>
      <w:r>
        <w:rPr>
          <w:rFonts w:ascii="仿宋" w:eastAsia="仿宋" w:hAnsi="仿宋" w:hint="eastAsia"/>
          <w:sz w:val="32"/>
          <w:szCs w:val="32"/>
        </w:rPr>
        <w:t>317</w:t>
      </w:r>
      <w:r>
        <w:rPr>
          <w:rFonts w:ascii="仿宋" w:eastAsia="仿宋" w:hAnsi="仿宋" w:hint="eastAsia"/>
          <w:sz w:val="32"/>
          <w:szCs w:val="32"/>
        </w:rPr>
        <w:t>”开头的一流学科建设项目和学校配套的“</w:t>
      </w:r>
      <w:r>
        <w:rPr>
          <w:rFonts w:ascii="仿宋" w:eastAsia="仿宋" w:hAnsi="仿宋" w:hint="eastAsia"/>
          <w:sz w:val="32"/>
          <w:szCs w:val="32"/>
        </w:rPr>
        <w:t>2114</w:t>
      </w:r>
      <w:r>
        <w:rPr>
          <w:rFonts w:ascii="仿宋" w:eastAsia="仿宋" w:hAnsi="仿宋" w:hint="eastAsia"/>
          <w:sz w:val="32"/>
          <w:szCs w:val="32"/>
        </w:rPr>
        <w:t>”开头的项目经费等（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开头以个人名义冠名的专项经费，均为中央专项资金）。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特别说明：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kern w:val="0"/>
          <w:sz w:val="32"/>
          <w:szCs w:val="32"/>
        </w:rPr>
        <w:t>科研部发布</w:t>
      </w:r>
      <w:r>
        <w:rPr>
          <w:rFonts w:ascii="仿宋" w:eastAsia="仿宋" w:hAnsi="仿宋" w:hint="eastAsia"/>
          <w:sz w:val="32"/>
          <w:szCs w:val="32"/>
        </w:rPr>
        <w:t>《关于印发中南财经政法大学科研项目管理“放管服”系列文件的通知》（中南大科字〔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号），科研项目的配套经费参照横向科研项目经费进行管理。经咨询教育部相关司局，学校配套的“</w:t>
      </w:r>
      <w:r>
        <w:rPr>
          <w:rFonts w:ascii="仿宋" w:eastAsia="仿宋" w:hAnsi="仿宋" w:hint="eastAsia"/>
          <w:sz w:val="32"/>
          <w:szCs w:val="32"/>
        </w:rPr>
        <w:t>2114</w:t>
      </w:r>
      <w:r>
        <w:rPr>
          <w:rFonts w:ascii="仿宋" w:eastAsia="仿宋" w:hAnsi="仿宋" w:hint="eastAsia"/>
          <w:sz w:val="32"/>
          <w:szCs w:val="32"/>
        </w:rPr>
        <w:t>”开头的经费来源于学校的公共财政性资金，不得再提取间接费用，直接费用投入方向可参照横向课题，但支出标准和支出程序规则应参照非</w:t>
      </w:r>
      <w:r>
        <w:rPr>
          <w:rFonts w:ascii="仿宋" w:eastAsia="仿宋" w:hAnsi="仿宋" w:hint="eastAsia"/>
          <w:sz w:val="32"/>
          <w:szCs w:val="32"/>
        </w:rPr>
        <w:lastRenderedPageBreak/>
        <w:t>科研项目经费执行。</w:t>
      </w:r>
    </w:p>
    <w:p w:rsidR="00570261" w:rsidRDefault="004B0E40">
      <w:pPr>
        <w:autoSpaceDE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按</w:t>
      </w:r>
      <w:r>
        <w:rPr>
          <w:rFonts w:ascii="仿宋" w:eastAsia="仿宋" w:hAnsi="仿宋" w:hint="eastAsia"/>
          <w:sz w:val="32"/>
          <w:szCs w:val="32"/>
        </w:rPr>
        <w:t>人事部合同</w:t>
      </w:r>
      <w:r>
        <w:rPr>
          <w:rFonts w:ascii="仿宋" w:eastAsia="仿宋" w:hAnsi="仿宋" w:hint="eastAsia"/>
          <w:sz w:val="32"/>
          <w:szCs w:val="32"/>
        </w:rPr>
        <w:t>约定安排</w:t>
      </w:r>
      <w:r>
        <w:rPr>
          <w:rFonts w:ascii="仿宋" w:eastAsia="仿宋" w:hAnsi="仿宋" w:hint="eastAsia"/>
          <w:sz w:val="32"/>
          <w:szCs w:val="32"/>
        </w:rPr>
        <w:t>的科研启动金</w:t>
      </w:r>
      <w:r>
        <w:rPr>
          <w:rFonts w:ascii="仿宋" w:eastAsia="仿宋" w:hAnsi="仿宋" w:hint="eastAsia"/>
          <w:sz w:val="32"/>
          <w:szCs w:val="32"/>
        </w:rPr>
        <w:t>也</w:t>
      </w:r>
      <w:r>
        <w:rPr>
          <w:rFonts w:ascii="仿宋" w:eastAsia="仿宋" w:hAnsi="仿宋" w:hint="eastAsia"/>
          <w:sz w:val="32"/>
          <w:szCs w:val="32"/>
        </w:rPr>
        <w:t>来源于学校的公共财政性资金，不得提取间接费用，直接费用投入方向、支出标准和支出程序规则参照非科研项目经费执行。</w:t>
      </w:r>
    </w:p>
    <w:p w:rsidR="00570261" w:rsidRDefault="004B0E40" w:rsidP="00C353F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三、调整和简化的主要内容</w:t>
      </w:r>
    </w:p>
    <w:p w:rsidR="00570261" w:rsidRDefault="004B0E40" w:rsidP="00C353F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</w:t>
      </w:r>
      <w:r>
        <w:rPr>
          <w:rFonts w:ascii="仿宋" w:eastAsia="仿宋" w:hAnsi="仿宋" w:hint="eastAsia"/>
          <w:b/>
          <w:bCs/>
          <w:sz w:val="32"/>
          <w:szCs w:val="32"/>
        </w:rPr>
        <w:t>）减少证明材料，简化审批环节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在充分尊重科研事实、充分信任项目负责人、充分保证教师自主权的前提下，对前期报账中需提供的部分辅助性材料予以取消，项目负责人对其真实性、合理性自行负责。</w:t>
      </w:r>
    </w:p>
    <w:p w:rsidR="00570261" w:rsidRDefault="004B0E40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取消登机牌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登机牌不再作为差旅报销中的附件材料，提供行程单或附有行程及舱位明细的发票即可。</w:t>
      </w:r>
    </w:p>
    <w:p w:rsidR="00570261" w:rsidRDefault="004B0E40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取消新闻稿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报销学生活动、会议、发放讲座费等无需再提供新闻稿或相关报道作为辅助材料。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市内交通费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市内汽油费、的士费报销无需在每张发票注明事由、地点、里程等，在报销单上注明事由即可。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人员经费发放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）科研项目经费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使用科研项目经费发放劳务费、咨询费、评审费等人员</w:t>
      </w:r>
    </w:p>
    <w:p w:rsidR="00570261" w:rsidRDefault="004B0E4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经费无需注明发放事由及标准，项目负责人根据科研实际需</w:t>
      </w:r>
      <w:r>
        <w:rPr>
          <w:rFonts w:ascii="仿宋" w:eastAsia="仿宋" w:hAnsi="仿宋" w:hint="eastAsia"/>
          <w:sz w:val="32"/>
          <w:szCs w:val="32"/>
        </w:rPr>
        <w:lastRenderedPageBreak/>
        <w:t>要进行发放，其中发放讲座费根据宣传部的规定需附讲座审批表。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）非科研项目经费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除了有规定标准的评审费、咨询费等需要注明发放依据和标准外，其他人员经费发放都无需列明发放事由及标准，但其中发放讲座费需附讲座审批表。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横向课题餐费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）工作餐（盒饭）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使用横向课题经费开支工作餐（盒饭），无需提供对方单位开具的明细清单，由项目负责人注明事由及人员名单即可报销。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）接待费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为简化报销附件，科研部横向科研</w:t>
      </w:r>
      <w:r>
        <w:rPr>
          <w:rFonts w:ascii="仿宋" w:eastAsia="仿宋" w:hAnsi="仿宋" w:hint="eastAsia"/>
          <w:sz w:val="32"/>
          <w:szCs w:val="32"/>
        </w:rPr>
        <w:t>经费管理办法规定“根据科研实际需要可列支不超过经费总额</w:t>
      </w:r>
      <w:r>
        <w:rPr>
          <w:rFonts w:ascii="仿宋" w:eastAsia="仿宋" w:hAnsi="仿宋" w:hint="eastAsia"/>
          <w:sz w:val="32"/>
          <w:szCs w:val="32"/>
        </w:rPr>
        <w:t>20%</w:t>
      </w:r>
      <w:r>
        <w:rPr>
          <w:rFonts w:ascii="仿宋" w:eastAsia="仿宋" w:hAnsi="仿宋" w:hint="eastAsia"/>
          <w:sz w:val="32"/>
          <w:szCs w:val="32"/>
        </w:rPr>
        <w:t>的业务接待费，直接凭票据在间接费用支出”。</w:t>
      </w:r>
    </w:p>
    <w:p w:rsidR="00570261" w:rsidRDefault="004B0E40">
      <w:pPr>
        <w:pStyle w:val="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调研报告、差旅补助等事项说明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）调研报告不再作为证明报销事项真实性的辅助材料，任何经费报销差旅费无需提供调研报告；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）由对方单位承担住宿，无需对方单位提供证明；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）使用科研项目经费到外地从事科研活动，申请差旅补助超一个月，无需报单位负责人审批，超过一个月的部分，差旅补助减半执行。</w:t>
      </w:r>
    </w:p>
    <w:p w:rsidR="00570261" w:rsidRDefault="004B0E40">
      <w:pPr>
        <w:pStyle w:val="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7.</w:t>
      </w:r>
      <w:r>
        <w:rPr>
          <w:rFonts w:ascii="仿宋" w:eastAsia="仿宋" w:hAnsi="仿宋" w:hint="eastAsia"/>
          <w:sz w:val="32"/>
          <w:szCs w:val="32"/>
        </w:rPr>
        <w:t>科研项目经费支出会议费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使用科研项目经费报销会议</w:t>
      </w:r>
      <w:proofErr w:type="gramStart"/>
      <w:r>
        <w:rPr>
          <w:rFonts w:ascii="仿宋" w:eastAsia="仿宋" w:hAnsi="仿宋" w:hint="eastAsia"/>
          <w:sz w:val="32"/>
          <w:szCs w:val="32"/>
        </w:rPr>
        <w:t>费执行</w:t>
      </w:r>
      <w:proofErr w:type="gramEnd"/>
      <w:r>
        <w:rPr>
          <w:rFonts w:ascii="仿宋" w:eastAsia="仿宋" w:hAnsi="仿宋" w:hint="eastAsia"/>
          <w:sz w:val="32"/>
          <w:szCs w:val="32"/>
        </w:rPr>
        <w:t>《中南财经政法大学会议费管理办法》（中南大政字</w:t>
      </w:r>
      <w:r>
        <w:rPr>
          <w:rFonts w:ascii="仿宋" w:eastAsia="仿宋" w:hAnsi="仿宋" w:cs="仿宋_GB2312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cs="仿宋_GB2312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152</w:t>
      </w:r>
      <w:r>
        <w:rPr>
          <w:rFonts w:ascii="仿宋" w:eastAsia="仿宋" w:hAnsi="仿宋" w:hint="eastAsia"/>
          <w:sz w:val="32"/>
          <w:szCs w:val="32"/>
        </w:rPr>
        <w:t>号），会议费开支原则上实行综合定额控制，各项费用之间可以调剂使用。纵向课题经费报销来宾住宿费可按规定标准上浮</w:t>
      </w:r>
      <w:r>
        <w:rPr>
          <w:rFonts w:ascii="仿宋" w:eastAsia="仿宋" w:hAnsi="仿宋" w:hint="eastAsia"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；横向课题经费报销来宾住宿费自行确定标准，以上两种情况可突破定额标准。</w:t>
      </w:r>
    </w:p>
    <w:p w:rsidR="00570261" w:rsidRDefault="004B0E40">
      <w:pPr>
        <w:pStyle w:val="1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z w:val="32"/>
          <w:szCs w:val="32"/>
        </w:rPr>
        <w:t>除特殊事项外，报销中的情况</w:t>
      </w:r>
      <w:proofErr w:type="gramStart"/>
      <w:r>
        <w:rPr>
          <w:rFonts w:ascii="仿宋" w:eastAsia="仿宋" w:hAnsi="仿宋" w:hint="eastAsia"/>
          <w:sz w:val="32"/>
          <w:szCs w:val="32"/>
        </w:rPr>
        <w:t>说明仅</w:t>
      </w:r>
      <w:proofErr w:type="gramEnd"/>
      <w:r>
        <w:rPr>
          <w:rFonts w:ascii="仿宋" w:eastAsia="仿宋" w:hAnsi="仿宋" w:hint="eastAsia"/>
          <w:sz w:val="32"/>
          <w:szCs w:val="32"/>
        </w:rPr>
        <w:t>需经办人签字</w:t>
      </w:r>
    </w:p>
    <w:p w:rsidR="00570261" w:rsidRDefault="004B0E4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（学生除外）。</w:t>
      </w:r>
    </w:p>
    <w:p w:rsidR="00570261" w:rsidRDefault="004B0E40" w:rsidP="00C353F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（二）差旅费报销相关规定的调整与说明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取消年龄限制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）取消禁止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岁以上校外人员车船票、火车票、飞机票报销的规定；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）横向课题可报销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岁以下人员的车船票、火车票、飞机票。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横向课题国内住宿及城市间交通费标准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使用横向科研项目经费出差，出差人员遵循“实事求是、</w:t>
      </w:r>
    </w:p>
    <w:p w:rsidR="00570261" w:rsidRDefault="004B0E4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精简高效、厉行节约</w:t>
      </w:r>
      <w:proofErr w:type="gramStart"/>
      <w:r>
        <w:rPr>
          <w:rFonts w:ascii="仿宋" w:eastAsia="仿宋" w:hAnsi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hint="eastAsia"/>
          <w:sz w:val="32"/>
          <w:szCs w:val="32"/>
        </w:rPr>
        <w:t>的基本原则，可根据科研活动实际需要，自主选择乘坐交通工具等级和自主安排住宿行为，不受人员级别限制。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纵向课题国内住宿及城市间交通费标准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使用纵向科研项目经费出差，按规定等级确定国内住宿</w:t>
      </w:r>
      <w:r>
        <w:rPr>
          <w:rFonts w:ascii="仿宋" w:eastAsia="仿宋" w:hAnsi="仿宋" w:hint="eastAsia"/>
          <w:sz w:val="32"/>
          <w:szCs w:val="32"/>
        </w:rPr>
        <w:lastRenderedPageBreak/>
        <w:t>标准（每人每天）及交通工具等级，见下表：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3260"/>
        <w:gridCol w:w="992"/>
        <w:gridCol w:w="1559"/>
        <w:gridCol w:w="1059"/>
        <w:gridCol w:w="993"/>
      </w:tblGrid>
      <w:tr w:rsidR="00570261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人员划分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火车（含高铁、动车、全列软席列车）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轮船</w:t>
            </w:r>
          </w:p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（不包括旅游船）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飞机</w:t>
            </w:r>
          </w:p>
        </w:tc>
      </w:tr>
      <w:tr w:rsidR="00570261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省部级，院士（含文科资深教授），其他相当于院士的学者；</w:t>
            </w:r>
          </w:p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二级及以上管理岗位人员；</w:t>
            </w:r>
          </w:p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二级教授（以人事部提供的名单为准）。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火车软席（软座、软卧），高铁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动车商务座，全列软席列车一等软座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头等舱</w:t>
            </w:r>
          </w:p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公务舱</w:t>
            </w:r>
          </w:p>
        </w:tc>
      </w:tr>
      <w:tr w:rsidR="00570261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除二级教授外的正教授、副教授；</w:t>
            </w:r>
          </w:p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副高级及以上非教师专业技术岗位人员；</w:t>
            </w:r>
          </w:p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六级及以上管理岗位人员。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火车软席（软座、软卧），高铁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动车一等座，全列软席列车一等软座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经济舱</w:t>
            </w:r>
          </w:p>
        </w:tc>
      </w:tr>
      <w:tr w:rsidR="00570261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其余人员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火车硬席（硬座、硬卧），高铁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动车二等座，全列软席列车二等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软座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三等舱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61" w:rsidRDefault="004B0E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经济舱</w:t>
            </w:r>
          </w:p>
        </w:tc>
      </w:tr>
    </w:tbl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其他情况：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）本人因特殊情况需乘坐其他不对应等级的交通工具，提供情况说明；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）在厉行节约、实事求是的原则下，上表国内住宿标准可根据科研实际需要上浮</w:t>
      </w:r>
      <w:r>
        <w:rPr>
          <w:rFonts w:ascii="仿宋" w:eastAsia="仿宋" w:hAnsi="仿宋" w:hint="eastAsia"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）出差人员赴外地开会，若会议主办方指定的住宿酒店超过以上标准，可据实报销。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科研项目经费自驾调研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）市内调研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使用科研项目经费进行市内调研产生的燃油费，凭票据实报销，报销单上需注明事由。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）市外调研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根据实际情况，对确因工作需要或客观条件限制，必须要自驾车的，填写《科研自驾承诺书》，项目负责人审批，根据是否产生住宿费，有以下两种报销方式：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" w:eastAsia="仿宋" w:hAnsi="仿宋" w:hint="eastAsia"/>
          <w:sz w:val="32"/>
          <w:szCs w:val="32"/>
        </w:rPr>
        <w:t>提供住宿费发票，在标准内按票面金额据实报销，每人每天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元包干差旅及补助，不报销除住宿费外的其他任何票据；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②无住宿费发票，项目负责人说明具体事由及住宿情况（包括被调研单位或个人的联系方式），每人每天</w:t>
      </w:r>
      <w:r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元包干差旅及补助，不报销其他任何票据。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</w:t>
      </w:r>
      <w:r>
        <w:rPr>
          <w:rFonts w:ascii="仿宋" w:eastAsia="仿宋" w:hAnsi="仿宋" w:hint="eastAsia"/>
          <w:sz w:val="32"/>
          <w:szCs w:val="32"/>
        </w:rPr>
        <w:t>出国差旅费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）横向课题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使用横向科研项目经费出差，出差人员遵循“实事求是、精简高效、厉行节约”的基本原则，可根据科研活动实际需要，自主选择乘坐交通工具等级和自主安排住宿行为，不受人员级别限制。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）纵向课题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使用纵向科研项目经费开支国际旅费中的住宿费，执</w:t>
      </w:r>
      <w:r>
        <w:rPr>
          <w:rFonts w:ascii="仿宋" w:eastAsia="仿宋" w:hAnsi="仿宋" w:hint="eastAsia"/>
          <w:sz w:val="32"/>
          <w:szCs w:val="32"/>
        </w:rPr>
        <w:t>行《因公临时出国经费管理办法》（</w:t>
      </w:r>
      <w:proofErr w:type="gramStart"/>
      <w:r>
        <w:rPr>
          <w:rFonts w:ascii="仿宋" w:eastAsia="仿宋" w:hAnsi="仿宋" w:hint="eastAsia"/>
          <w:sz w:val="32"/>
          <w:szCs w:val="32"/>
        </w:rPr>
        <w:t>财行〔</w:t>
      </w:r>
      <w:r>
        <w:rPr>
          <w:rFonts w:ascii="仿宋" w:eastAsia="仿宋" w:hAnsi="仿宋" w:hint="eastAsia"/>
          <w:sz w:val="32"/>
          <w:szCs w:val="32"/>
        </w:rPr>
        <w:t>2013</w:t>
      </w:r>
      <w:r>
        <w:rPr>
          <w:rFonts w:ascii="仿宋" w:eastAsia="仿宋" w:hAnsi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hint="eastAsia"/>
          <w:sz w:val="32"/>
          <w:szCs w:val="32"/>
        </w:rPr>
        <w:t>516</w:t>
      </w:r>
      <w:r>
        <w:rPr>
          <w:rFonts w:ascii="仿宋" w:eastAsia="仿宋" w:hAnsi="仿宋" w:hint="eastAsia"/>
          <w:sz w:val="32"/>
          <w:szCs w:val="32"/>
        </w:rPr>
        <w:t>号）、《财政部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外交部关于调整因公临时出国住宿费标准等有关事项的通知》（</w:t>
      </w:r>
      <w:proofErr w:type="gramStart"/>
      <w:r>
        <w:rPr>
          <w:rFonts w:ascii="仿宋" w:eastAsia="仿宋" w:hAnsi="仿宋" w:hint="eastAsia"/>
          <w:sz w:val="32"/>
          <w:szCs w:val="32"/>
        </w:rPr>
        <w:t>财行〔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〕</w:t>
      </w:r>
      <w:proofErr w:type="gramEnd"/>
      <w:r>
        <w:rPr>
          <w:rFonts w:ascii="仿宋" w:eastAsia="仿宋" w:hAnsi="仿宋" w:hint="eastAsia"/>
          <w:sz w:val="32"/>
          <w:szCs w:val="32"/>
        </w:rPr>
        <w:t>434</w:t>
      </w:r>
      <w:r>
        <w:rPr>
          <w:rFonts w:ascii="仿宋" w:eastAsia="仿宋" w:hAnsi="仿宋" w:hint="eastAsia"/>
          <w:sz w:val="32"/>
          <w:szCs w:val="32"/>
        </w:rPr>
        <w:t>号）的住宿标准，在预算范围内，可根据科研实际需要上浮</w:t>
      </w:r>
      <w:r>
        <w:rPr>
          <w:rFonts w:ascii="仿宋" w:eastAsia="仿宋" w:hAnsi="仿宋" w:hint="eastAsia"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，若会议主办方指定的国（境）外住宿酒店超过以上标准，可据实报销。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科研部、财务部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月公告《关于规范科研项目相关经费使用审批流程的说明》，专业技术岗四级及以上人员使用科研经费、因公出国（境）执行学术交流任务，根据科研实际需要，可以乘坐飞机公务舱。</w:t>
      </w:r>
    </w:p>
    <w:p w:rsidR="00570261" w:rsidRDefault="004B0E40" w:rsidP="00C353F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四、科研人员应坚守诚信法纪底线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科研人员不得弄虚作假，骗取科技项目、科研经费以及奖励、荣誉等，不得在科研经费中报销应由个人承担的费用，不得将科研经费挪用于非科研用途，不得把外协单位作为逃避监管的法外之地。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项目负责人作为科研经费使用的直接责任人，要严守诚信要求和职业道德，按照国家要求开展科学研究和使用经费，对经费使用的真实性、合法性和有效性承担直接的经济与法律责任。请</w:t>
      </w:r>
      <w:proofErr w:type="gramStart"/>
      <w:r>
        <w:rPr>
          <w:rFonts w:ascii="仿宋" w:eastAsia="仿宋" w:hAnsi="仿宋" w:hint="eastAsia"/>
          <w:sz w:val="32"/>
          <w:szCs w:val="32"/>
        </w:rPr>
        <w:t>各经费</w:t>
      </w:r>
      <w:proofErr w:type="gramEnd"/>
      <w:r>
        <w:rPr>
          <w:rFonts w:ascii="仿宋" w:eastAsia="仿宋" w:hAnsi="仿宋" w:hint="eastAsia"/>
          <w:sz w:val="32"/>
          <w:szCs w:val="32"/>
        </w:rPr>
        <w:t>负责人和报销人员加强财经纪律意识，严肃认真对待每笔报销业务，保证所有经济事项的真实性、合理性。</w:t>
      </w:r>
    </w:p>
    <w:p w:rsidR="00570261" w:rsidRDefault="004B0E40" w:rsidP="00C353F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五、相关管理处罚规定</w:t>
      </w:r>
    </w:p>
    <w:p w:rsidR="00570261" w:rsidRDefault="004B0E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财务部指导项目负责人按照相关规定使用经费，在报销过</w:t>
      </w:r>
      <w:r>
        <w:rPr>
          <w:rFonts w:ascii="仿宋" w:eastAsia="仿宋" w:hAnsi="仿宋" w:hint="eastAsia"/>
          <w:sz w:val="32"/>
          <w:szCs w:val="32"/>
        </w:rPr>
        <w:t>程中对发现问题的单据有权予以扣留，作为证据提交相关部门处理，违规行为一经发现，将联合审计部、纪委办、监察工作部通报查处，按规定予以通报批评、暂停项目拨款、终止项目执行、追回已</w:t>
      </w:r>
      <w:proofErr w:type="gramStart"/>
      <w:r>
        <w:rPr>
          <w:rFonts w:ascii="仿宋" w:eastAsia="仿宋" w:hAnsi="仿宋" w:hint="eastAsia"/>
          <w:sz w:val="32"/>
          <w:szCs w:val="32"/>
        </w:rPr>
        <w:t>拨项目</w:t>
      </w:r>
      <w:proofErr w:type="gramEnd"/>
      <w:r>
        <w:rPr>
          <w:rFonts w:ascii="仿宋" w:eastAsia="仿宋" w:hAnsi="仿宋" w:hint="eastAsia"/>
          <w:sz w:val="32"/>
          <w:szCs w:val="32"/>
        </w:rPr>
        <w:t>资金、取消项目负责人一定期限内申报资格等处罚。涉嫌违纪的，由学校纪委在调查核实基础上运用监督执纪“四种形态”对有关责任人进行处理。涉嫌违法犯罪的，由学校纪委调查核实后按规定移送地方纪委监委审查调查，并配合其依纪依法妥善处理。</w:t>
      </w:r>
    </w:p>
    <w:p w:rsidR="00570261" w:rsidRDefault="0057026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70261" w:rsidRDefault="004B0E40">
      <w:pPr>
        <w:spacing w:line="360" w:lineRule="auto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>财务部</w:t>
      </w:r>
    </w:p>
    <w:p w:rsidR="00570261" w:rsidRDefault="00C353F9" w:rsidP="00C353F9">
      <w:pPr>
        <w:spacing w:line="360" w:lineRule="auto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2019年12月9日</w:t>
      </w:r>
    </w:p>
    <w:p w:rsidR="00570261" w:rsidRDefault="00570261"/>
    <w:sectPr w:rsidR="00570261" w:rsidSect="00570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40" w:rsidRDefault="004B0E40" w:rsidP="00C353F9">
      <w:r>
        <w:separator/>
      </w:r>
    </w:p>
  </w:endnote>
  <w:endnote w:type="continuationSeparator" w:id="0">
    <w:p w:rsidR="004B0E40" w:rsidRDefault="004B0E40" w:rsidP="00C3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40" w:rsidRDefault="004B0E40" w:rsidP="00C353F9">
      <w:r>
        <w:separator/>
      </w:r>
    </w:p>
  </w:footnote>
  <w:footnote w:type="continuationSeparator" w:id="0">
    <w:p w:rsidR="004B0E40" w:rsidRDefault="004B0E40" w:rsidP="00C35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65523"/>
    <w:multiLevelType w:val="multilevel"/>
    <w:tmpl w:val="73C655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AB8"/>
    <w:rsid w:val="001A3AB8"/>
    <w:rsid w:val="004B0E40"/>
    <w:rsid w:val="00503201"/>
    <w:rsid w:val="00570261"/>
    <w:rsid w:val="00AB47D1"/>
    <w:rsid w:val="00C353F9"/>
    <w:rsid w:val="022E5BCF"/>
    <w:rsid w:val="56603B83"/>
    <w:rsid w:val="79E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70261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35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3F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3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李明</cp:lastModifiedBy>
  <cp:revision>4</cp:revision>
  <dcterms:created xsi:type="dcterms:W3CDTF">2019-12-09T01:13:00Z</dcterms:created>
  <dcterms:modified xsi:type="dcterms:W3CDTF">2019-12-09T02:50:00Z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