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952584" w:rsidRPr="00952584">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952584" w:rsidRPr="00952584">
              <w:trPr>
                <w:trHeight w:val="555"/>
                <w:tblCellSpacing w:w="0" w:type="dxa"/>
              </w:trPr>
              <w:tc>
                <w:tcPr>
                  <w:tcW w:w="0" w:type="auto"/>
                  <w:vAlign w:val="center"/>
                  <w:hideMark/>
                </w:tcPr>
                <w:p w:rsidR="00952584" w:rsidRPr="00952584" w:rsidRDefault="00952584" w:rsidP="00952584">
                  <w:pPr>
                    <w:widowControl/>
                    <w:spacing w:before="200" w:after="150" w:line="432" w:lineRule="auto"/>
                    <w:jc w:val="center"/>
                    <w:rPr>
                      <w:rFonts w:ascii="Arial" w:eastAsia="宋体" w:hAnsi="Arial" w:cs="Arial"/>
                      <w:b/>
                      <w:bCs/>
                      <w:color w:val="185895"/>
                      <w:kern w:val="0"/>
                      <w:sz w:val="24"/>
                      <w:szCs w:val="24"/>
                    </w:rPr>
                  </w:pPr>
                  <w:r w:rsidRPr="00952584">
                    <w:rPr>
                      <w:rFonts w:ascii="Arial" w:eastAsia="宋体" w:hAnsi="Arial" w:cs="Arial"/>
                      <w:b/>
                      <w:bCs/>
                      <w:color w:val="185895"/>
                      <w:kern w:val="0"/>
                      <w:sz w:val="24"/>
                      <w:szCs w:val="24"/>
                    </w:rPr>
                    <w:t>关于完善中央单位政府采购预算管理和中央高校、</w:t>
                  </w:r>
                  <w:r w:rsidRPr="00952584">
                    <w:rPr>
                      <w:rFonts w:ascii="Arial" w:eastAsia="宋体" w:hAnsi="Arial" w:cs="Arial"/>
                      <w:b/>
                      <w:bCs/>
                      <w:color w:val="185895"/>
                      <w:kern w:val="0"/>
                      <w:sz w:val="24"/>
                      <w:szCs w:val="24"/>
                    </w:rPr>
                    <w:br/>
                  </w:r>
                  <w:r w:rsidRPr="00952584">
                    <w:rPr>
                      <w:rFonts w:ascii="Arial" w:eastAsia="宋体" w:hAnsi="Arial" w:cs="Arial"/>
                      <w:b/>
                      <w:bCs/>
                      <w:color w:val="185895"/>
                      <w:kern w:val="0"/>
                      <w:sz w:val="24"/>
                      <w:szCs w:val="24"/>
                    </w:rPr>
                    <w:t>科研院所科研仪器设备采购管理有关事项的通知</w:t>
                  </w:r>
                  <w:r w:rsidRPr="00952584">
                    <w:rPr>
                      <w:rFonts w:ascii="Arial" w:eastAsia="宋体" w:hAnsi="Arial" w:cs="Arial"/>
                      <w:b/>
                      <w:bCs/>
                      <w:color w:val="185895"/>
                      <w:kern w:val="0"/>
                      <w:sz w:val="24"/>
                      <w:szCs w:val="24"/>
                    </w:rPr>
                    <w:t xml:space="preserve"> </w:t>
                  </w:r>
                </w:p>
              </w:tc>
            </w:tr>
          </w:tbl>
          <w:p w:rsidR="00952584" w:rsidRPr="00952584" w:rsidRDefault="00952584" w:rsidP="00952584">
            <w:pPr>
              <w:widowControl/>
              <w:spacing w:line="432" w:lineRule="auto"/>
              <w:jc w:val="left"/>
              <w:rPr>
                <w:rFonts w:ascii="Arial" w:eastAsia="宋体" w:hAnsi="Arial" w:cs="Arial"/>
                <w:vanish/>
                <w:kern w:val="0"/>
                <w:sz w:val="12"/>
                <w:szCs w:val="12"/>
              </w:rPr>
            </w:pPr>
          </w:p>
          <w:tbl>
            <w:tblPr>
              <w:tblW w:w="5000" w:type="pct"/>
              <w:tblCellSpacing w:w="0" w:type="dxa"/>
              <w:tblCellMar>
                <w:left w:w="0" w:type="dxa"/>
                <w:right w:w="0" w:type="dxa"/>
              </w:tblCellMar>
              <w:tblLook w:val="04A0"/>
            </w:tblPr>
            <w:tblGrid>
              <w:gridCol w:w="8306"/>
            </w:tblGrid>
            <w:tr w:rsidR="00952584" w:rsidRPr="00952584">
              <w:trPr>
                <w:trHeight w:val="15"/>
                <w:tblCellSpacing w:w="0" w:type="dxa"/>
              </w:trPr>
              <w:tc>
                <w:tcPr>
                  <w:tcW w:w="0" w:type="auto"/>
                  <w:vAlign w:val="center"/>
                  <w:hideMark/>
                </w:tcPr>
                <w:p w:rsidR="00952584" w:rsidRPr="00952584" w:rsidRDefault="00952584" w:rsidP="00952584">
                  <w:pPr>
                    <w:widowControl/>
                    <w:spacing w:line="15" w:lineRule="atLeast"/>
                    <w:jc w:val="left"/>
                    <w:rPr>
                      <w:rFonts w:ascii="Arial" w:eastAsia="宋体" w:hAnsi="Arial" w:cs="Arial"/>
                      <w:kern w:val="0"/>
                      <w:sz w:val="12"/>
                      <w:szCs w:val="12"/>
                    </w:rPr>
                  </w:pPr>
                  <w:r w:rsidRPr="00952584">
                    <w:rPr>
                      <w:rFonts w:ascii="Arial" w:eastAsia="宋体" w:hAnsi="Arial" w:cs="Arial"/>
                      <w:kern w:val="0"/>
                      <w:sz w:val="12"/>
                      <w:szCs w:val="12"/>
                    </w:rPr>
                    <w:pict>
                      <v:rect id="_x0000_i1025" style="width:350pt;height:.5pt" o:hrpct="0" o:hralign="center" o:hrstd="t" o:hrnoshade="t" o:hr="t" fillcolor="#99c2e2" stroked="f"/>
                    </w:pict>
                  </w:r>
                </w:p>
              </w:tc>
            </w:tr>
          </w:tbl>
          <w:p w:rsidR="00952584" w:rsidRPr="00952584" w:rsidRDefault="00952584" w:rsidP="00952584">
            <w:pPr>
              <w:widowControl/>
              <w:spacing w:line="432" w:lineRule="auto"/>
              <w:jc w:val="left"/>
              <w:rPr>
                <w:rFonts w:ascii="Arial" w:eastAsia="宋体" w:hAnsi="Arial" w:cs="Arial"/>
                <w:vanish/>
                <w:kern w:val="0"/>
                <w:sz w:val="12"/>
                <w:szCs w:val="12"/>
              </w:rPr>
            </w:pPr>
          </w:p>
          <w:tbl>
            <w:tblPr>
              <w:tblW w:w="5000" w:type="pct"/>
              <w:tblCellSpacing w:w="0" w:type="dxa"/>
              <w:tblCellMar>
                <w:left w:w="0" w:type="dxa"/>
                <w:right w:w="0" w:type="dxa"/>
              </w:tblCellMar>
              <w:tblLook w:val="04A0"/>
            </w:tblPr>
            <w:tblGrid>
              <w:gridCol w:w="8306"/>
            </w:tblGrid>
            <w:tr w:rsidR="00952584" w:rsidRPr="00952584">
              <w:trPr>
                <w:tblCellSpacing w:w="0" w:type="dxa"/>
              </w:trPr>
              <w:tc>
                <w:tcPr>
                  <w:tcW w:w="0" w:type="auto"/>
                  <w:vAlign w:val="center"/>
                  <w:hideMark/>
                </w:tcPr>
                <w:p w:rsidR="00952584" w:rsidRPr="00952584" w:rsidRDefault="00952584" w:rsidP="00952584">
                  <w:pPr>
                    <w:widowControl/>
                    <w:spacing w:line="432" w:lineRule="auto"/>
                    <w:jc w:val="left"/>
                    <w:rPr>
                      <w:rFonts w:ascii="Arial" w:eastAsia="宋体" w:hAnsi="Arial" w:cs="Arial"/>
                      <w:kern w:val="0"/>
                      <w:sz w:val="16"/>
                      <w:szCs w:val="16"/>
                    </w:rPr>
                  </w:pPr>
                </w:p>
              </w:tc>
            </w:tr>
          </w:tbl>
          <w:p w:rsidR="00952584" w:rsidRPr="00952584" w:rsidRDefault="00952584" w:rsidP="00952584">
            <w:pPr>
              <w:widowControl/>
              <w:spacing w:line="432" w:lineRule="auto"/>
              <w:jc w:val="left"/>
              <w:rPr>
                <w:rFonts w:ascii="Arial" w:eastAsia="宋体" w:hAnsi="Arial" w:cs="Arial"/>
                <w:kern w:val="0"/>
                <w:sz w:val="12"/>
                <w:szCs w:val="12"/>
              </w:rPr>
            </w:pPr>
          </w:p>
        </w:tc>
      </w:tr>
      <w:tr w:rsidR="00952584" w:rsidRPr="00952584">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952584" w:rsidRPr="00952584">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77"/>
                    <w:gridCol w:w="6283"/>
                  </w:tblGrid>
                  <w:tr w:rsidR="00952584" w:rsidRPr="00952584">
                    <w:trPr>
                      <w:tblCellSpacing w:w="0" w:type="dxa"/>
                      <w:jc w:val="center"/>
                    </w:trPr>
                    <w:tc>
                      <w:tcPr>
                        <w:tcW w:w="0" w:type="auto"/>
                        <w:gridSpan w:val="2"/>
                        <w:vAlign w:val="center"/>
                        <w:hideMark/>
                      </w:tcPr>
                      <w:p w:rsidR="00952584" w:rsidRPr="00952584" w:rsidRDefault="00952584" w:rsidP="00952584">
                        <w:pPr>
                          <w:widowControl/>
                          <w:spacing w:before="100" w:beforeAutospacing="1" w:after="100" w:afterAutospacing="1" w:line="432" w:lineRule="auto"/>
                          <w:jc w:val="center"/>
                          <w:rPr>
                            <w:rFonts w:ascii="Arial" w:eastAsia="宋体" w:hAnsi="Arial" w:cs="Arial"/>
                            <w:kern w:val="0"/>
                            <w:sz w:val="16"/>
                            <w:szCs w:val="16"/>
                          </w:rPr>
                        </w:pPr>
                        <w:r w:rsidRPr="00952584">
                          <w:rPr>
                            <w:rFonts w:ascii="Arial" w:eastAsia="宋体" w:hAnsi="Arial" w:cs="Arial"/>
                            <w:kern w:val="0"/>
                            <w:sz w:val="16"/>
                            <w:szCs w:val="16"/>
                          </w:rPr>
                          <w:t>财库</w:t>
                        </w:r>
                        <w:r w:rsidRPr="00952584">
                          <w:rPr>
                            <w:rFonts w:ascii="Arial" w:eastAsia="宋体" w:hAnsi="Arial" w:cs="Arial"/>
                            <w:kern w:val="0"/>
                            <w:sz w:val="16"/>
                            <w:szCs w:val="16"/>
                          </w:rPr>
                          <w:t>[2016]194</w:t>
                        </w:r>
                        <w:r w:rsidRPr="00952584">
                          <w:rPr>
                            <w:rFonts w:ascii="Arial" w:eastAsia="宋体" w:hAnsi="Arial" w:cs="Arial"/>
                            <w:kern w:val="0"/>
                            <w:sz w:val="16"/>
                            <w:szCs w:val="16"/>
                          </w:rPr>
                          <w:t>号</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党中央有关部门，国务院各部委、各直属机构，全国人大常委会办公厅，全国政协办公厅，高法院，高检院，各民主党派中央，有关人民团体，中央国家机关政府采购中心，中共中央直属机关采购中心，全国人大机关采购中心，各省、自治区、直辖市、计划单列市财政厅（局）：</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为进一步完善中央单位政府采购预算管理，落实中共中央办公厅、国务院办公厅《关于进一步完善中央财政科研项目资金管理等政策的有关意见》有关中央高校、科研院所科研仪器设备采购管理的要求，现将有关事项通知如下：</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w:t>
                        </w:r>
                        <w:r w:rsidRPr="00952584">
                          <w:rPr>
                            <w:rFonts w:ascii="Arial" w:eastAsia="宋体" w:hAnsi="Arial" w:cs="Arial"/>
                            <w:b/>
                            <w:bCs/>
                            <w:kern w:val="0"/>
                            <w:sz w:val="16"/>
                          </w:rPr>
                          <w:t>一、</w:t>
                        </w:r>
                        <w:r w:rsidRPr="00952584">
                          <w:rPr>
                            <w:rFonts w:ascii="Arial" w:eastAsia="宋体" w:hAnsi="Arial" w:cs="Arial"/>
                            <w:b/>
                            <w:bCs/>
                            <w:kern w:val="0"/>
                            <w:sz w:val="16"/>
                          </w:rPr>
                          <w:t xml:space="preserve"> </w:t>
                        </w:r>
                        <w:r w:rsidRPr="00952584">
                          <w:rPr>
                            <w:rFonts w:ascii="Arial" w:eastAsia="宋体" w:hAnsi="Arial" w:cs="Arial"/>
                            <w:b/>
                            <w:bCs/>
                            <w:kern w:val="0"/>
                            <w:sz w:val="16"/>
                          </w:rPr>
                          <w:t>完善中央单位政府采购预算管理</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全面完整编制政府采购预算是加强政府采购管理的重要基础。中央单位应随部门预算编制一并编制政府采购预算。预算执行中部门预算资金调剂（包括追加、追减或调整结构）需要明确政府采购预算的，应按部门预算调剂的有关程序和规定一并办理，由主管预算单位报财政部（部门预算管理司）审核批复。</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除部门预算资金调剂情形外，中央单位预算执行中预算支出总金额不变但需要单独调剂政府采购预算的类别（货物、工程、服务）和金额，以及使用非财政拨款资金采购需要明确政府采购预算的，由主管预算单位报财政部（国库司）备案。备案文件中应当载明中央单位名称、预算项目名称及编码、采购项目名称以及政府采购预算的类别、金额和调剂原因等项目基本情况说明。备案由主管预算单位组织在现行的</w:t>
                        </w:r>
                        <w:r w:rsidRPr="00952584">
                          <w:rPr>
                            <w:rFonts w:ascii="Arial" w:eastAsia="宋体" w:hAnsi="Arial" w:cs="Arial"/>
                            <w:kern w:val="0"/>
                            <w:sz w:val="16"/>
                            <w:szCs w:val="16"/>
                          </w:rPr>
                          <w:t>“</w:t>
                        </w:r>
                        <w:r w:rsidRPr="00952584">
                          <w:rPr>
                            <w:rFonts w:ascii="Arial" w:eastAsia="宋体" w:hAnsi="Arial" w:cs="Arial"/>
                            <w:kern w:val="0"/>
                            <w:sz w:val="16"/>
                            <w:szCs w:val="16"/>
                          </w:rPr>
                          <w:t>政府采购计划管理系统</w:t>
                        </w:r>
                        <w:r w:rsidRPr="00952584">
                          <w:rPr>
                            <w:rFonts w:ascii="Arial" w:eastAsia="宋体" w:hAnsi="Arial" w:cs="Arial"/>
                            <w:kern w:val="0"/>
                            <w:sz w:val="16"/>
                            <w:szCs w:val="16"/>
                          </w:rPr>
                          <w:t>”</w:t>
                        </w:r>
                        <w:r w:rsidRPr="00952584">
                          <w:rPr>
                            <w:rFonts w:ascii="Arial" w:eastAsia="宋体" w:hAnsi="Arial" w:cs="Arial"/>
                            <w:kern w:val="0"/>
                            <w:sz w:val="16"/>
                            <w:szCs w:val="16"/>
                          </w:rPr>
                          <w:t>（以下简称采购计划系统）中录入政府采购预算，并上传备案文件的电子扫描件。录入的政府采购预算作为中央单位编报政府采购计划、申请变更政府采购方式和</w:t>
                        </w:r>
                        <w:r w:rsidRPr="00952584">
                          <w:rPr>
                            <w:rFonts w:ascii="Arial" w:eastAsia="宋体" w:hAnsi="Arial" w:cs="Arial"/>
                            <w:kern w:val="0"/>
                            <w:sz w:val="16"/>
                            <w:szCs w:val="16"/>
                          </w:rPr>
                          <w:lastRenderedPageBreak/>
                          <w:t>采购进口产品的依据。</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中央单位应准确区分不同类型，根据采购项目情况据实进行政府采购预算的报批和备案管理，不得随意调减政府采购预算以规避政府采购和公开招标。</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w:t>
                        </w:r>
                        <w:r w:rsidRPr="00952584">
                          <w:rPr>
                            <w:rFonts w:ascii="Arial" w:eastAsia="宋体" w:hAnsi="Arial" w:cs="Arial"/>
                            <w:b/>
                            <w:bCs/>
                            <w:kern w:val="0"/>
                            <w:sz w:val="16"/>
                          </w:rPr>
                          <w:t>二、</w:t>
                        </w:r>
                        <w:r w:rsidRPr="00952584">
                          <w:rPr>
                            <w:rFonts w:ascii="Arial" w:eastAsia="宋体" w:hAnsi="Arial" w:cs="Arial"/>
                            <w:b/>
                            <w:bCs/>
                            <w:kern w:val="0"/>
                            <w:sz w:val="16"/>
                          </w:rPr>
                          <w:t xml:space="preserve"> </w:t>
                        </w:r>
                        <w:r w:rsidRPr="00952584">
                          <w:rPr>
                            <w:rFonts w:ascii="Arial" w:eastAsia="宋体" w:hAnsi="Arial" w:cs="Arial"/>
                            <w:b/>
                            <w:bCs/>
                            <w:kern w:val="0"/>
                            <w:sz w:val="16"/>
                          </w:rPr>
                          <w:t>完善中央高校、科研院所科研仪器设备采购管理</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（一）中央高校、科研院所可自行采购科研仪器设备。</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中央高校、科研院所可自行组织或委托采购代理机构采购各类科研仪器设备，采购活动应按照政府采购法律制度规定执行。</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（二）对中央高校、科研院所采购进口科研仪器设备实行备案制管理。</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中央高校、科研院所采购进口科研仪器设备，应按规定做好专家论证工作，参与论证的专家可自行选定，专家论证意见随采购文件存档备查。中央高校、科研院所通过采购计划系统对采购进口科研仪器设备进行备案，可单次或分次批量在采购计划系统</w:t>
                        </w:r>
                        <w:r w:rsidRPr="00952584">
                          <w:rPr>
                            <w:rFonts w:ascii="Arial" w:eastAsia="宋体" w:hAnsi="Arial" w:cs="Arial"/>
                            <w:kern w:val="0"/>
                            <w:sz w:val="16"/>
                            <w:szCs w:val="16"/>
                          </w:rPr>
                          <w:t>“</w:t>
                        </w:r>
                        <w:r w:rsidRPr="00952584">
                          <w:rPr>
                            <w:rFonts w:ascii="Arial" w:eastAsia="宋体" w:hAnsi="Arial" w:cs="Arial"/>
                            <w:kern w:val="0"/>
                            <w:sz w:val="16"/>
                            <w:szCs w:val="16"/>
                          </w:rPr>
                          <w:t>中央高校、科研院所科研仪器设备进口</w:t>
                        </w:r>
                        <w:r w:rsidRPr="00952584">
                          <w:rPr>
                            <w:rFonts w:ascii="Arial" w:eastAsia="宋体" w:hAnsi="Arial" w:cs="Arial"/>
                            <w:kern w:val="0"/>
                            <w:sz w:val="16"/>
                            <w:szCs w:val="16"/>
                          </w:rPr>
                          <w:t>”</w:t>
                        </w:r>
                        <w:r w:rsidRPr="00952584">
                          <w:rPr>
                            <w:rFonts w:ascii="Arial" w:eastAsia="宋体" w:hAnsi="Arial" w:cs="Arial"/>
                            <w:kern w:val="0"/>
                            <w:sz w:val="16"/>
                            <w:szCs w:val="16"/>
                          </w:rPr>
                          <w:t>模块中编报采购计划。</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（三）简化中央高校、科研院所科研仪器设备变更政府采购方式审批流程。</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中央高校、科研院所达到公开招标数额标准的科研仪器设备采购项目需要采用公开招标以外采购方式的，申请变更政府采购方式时可不再提供单位内部会商意见，但应将单位内部会商意见随采购文件存档备查。中央高校、科研院所申请变更政府采购方式时可注明</w:t>
                        </w:r>
                        <w:r w:rsidRPr="00952584">
                          <w:rPr>
                            <w:rFonts w:ascii="Arial" w:eastAsia="宋体" w:hAnsi="Arial" w:cs="Arial"/>
                            <w:kern w:val="0"/>
                            <w:sz w:val="16"/>
                            <w:szCs w:val="16"/>
                          </w:rPr>
                          <w:t>“</w:t>
                        </w:r>
                        <w:r w:rsidRPr="00952584">
                          <w:rPr>
                            <w:rFonts w:ascii="Arial" w:eastAsia="宋体" w:hAnsi="Arial" w:cs="Arial"/>
                            <w:kern w:val="0"/>
                            <w:sz w:val="16"/>
                            <w:szCs w:val="16"/>
                          </w:rPr>
                          <w:t>科研仪器设备</w:t>
                        </w:r>
                        <w:r w:rsidRPr="00952584">
                          <w:rPr>
                            <w:rFonts w:ascii="Arial" w:eastAsia="宋体" w:hAnsi="Arial" w:cs="Arial"/>
                            <w:kern w:val="0"/>
                            <w:sz w:val="16"/>
                            <w:szCs w:val="16"/>
                          </w:rPr>
                          <w:t>”</w:t>
                        </w:r>
                        <w:r w:rsidRPr="00952584">
                          <w:rPr>
                            <w:rFonts w:ascii="Arial" w:eastAsia="宋体" w:hAnsi="Arial" w:cs="Arial"/>
                            <w:kern w:val="0"/>
                            <w:sz w:val="16"/>
                            <w:szCs w:val="16"/>
                          </w:rPr>
                          <w:t>，财政部将予以优先审批。申请变更为单一来源采购方式的专业人员论证和审核前公示，以及提交一揽子变更申请等工作，按《中央预算单位变更政府采购方式审批管理办法》（财库〔２０１５〕３６号）的规定执行。</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（四）中央高校、科研院所可自行选择科研仪器设备评审专家。</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lastRenderedPageBreak/>
                          <w:t xml:space="preserve">　　中央高校、科研院所科研仪器设备采购，可在政府采购评审专家库外自行选择评审专家。自行选择的评审专家与供应商有利害关系的，应严格执行回避有关规定。评审活动完成后，中央高校、科研院所应在评审专家名单中对自行选定的评审专家进行标注，并随同中标、成交结果一并公告。</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（五）加强对科研仪器设备采购的内部控制管理。</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中央高校、科研院所应按照《财政部关于加强政府采购活动内部管理的指导意见》（财库〔２０１６〕９９号）的规定，进一步完善内部管理规定，加强科研仪器设备采购的内控管理，严格执行政府采购相关规定，主动公开政府采购相关信息，做到科研仪器设备采购的全程公开、透明、可追溯。</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本通知自２０１７年１月１日起开始执行。</w:t>
                        </w:r>
                      </w:p>
                      <w:p w:rsidR="00952584" w:rsidRPr="00952584" w:rsidRDefault="00952584" w:rsidP="00952584">
                        <w:pPr>
                          <w:widowControl/>
                          <w:spacing w:before="100" w:beforeAutospacing="1" w:after="100" w:afterAutospacing="1" w:line="432" w:lineRule="auto"/>
                          <w:jc w:val="left"/>
                          <w:rPr>
                            <w:rFonts w:ascii="Arial" w:eastAsia="宋体" w:hAnsi="Arial" w:cs="Arial"/>
                            <w:kern w:val="0"/>
                            <w:sz w:val="16"/>
                            <w:szCs w:val="16"/>
                          </w:rPr>
                        </w:pPr>
                        <w:r w:rsidRPr="00952584">
                          <w:rPr>
                            <w:rFonts w:ascii="Arial" w:eastAsia="宋体" w:hAnsi="Arial" w:cs="Arial"/>
                            <w:kern w:val="0"/>
                            <w:sz w:val="16"/>
                            <w:szCs w:val="16"/>
                          </w:rPr>
                          <w:t xml:space="preserve">　　各地区可参照本通知精神，结合实际，完善相关管理规定。</w:t>
                        </w:r>
                      </w:p>
                      <w:p w:rsidR="00952584" w:rsidRPr="00952584" w:rsidRDefault="00952584" w:rsidP="00952584">
                        <w:pPr>
                          <w:widowControl/>
                          <w:spacing w:before="100" w:beforeAutospacing="1" w:after="100" w:afterAutospacing="1" w:line="432" w:lineRule="auto"/>
                          <w:jc w:val="right"/>
                          <w:rPr>
                            <w:rFonts w:ascii="Arial" w:eastAsia="宋体" w:hAnsi="Arial" w:cs="Arial"/>
                            <w:kern w:val="0"/>
                            <w:sz w:val="16"/>
                            <w:szCs w:val="16"/>
                          </w:rPr>
                        </w:pPr>
                        <w:r w:rsidRPr="00952584">
                          <w:rPr>
                            <w:rFonts w:ascii="Arial" w:eastAsia="宋体" w:hAnsi="Arial" w:cs="Arial"/>
                            <w:kern w:val="0"/>
                            <w:sz w:val="16"/>
                            <w:szCs w:val="16"/>
                          </w:rPr>
                          <w:t xml:space="preserve">　　财政部</w:t>
                        </w:r>
                      </w:p>
                      <w:p w:rsidR="00952584" w:rsidRPr="00952584" w:rsidRDefault="00952584" w:rsidP="00952584">
                        <w:pPr>
                          <w:widowControl/>
                          <w:spacing w:before="100" w:beforeAutospacing="1" w:after="100" w:afterAutospacing="1" w:line="432" w:lineRule="auto"/>
                          <w:jc w:val="right"/>
                          <w:rPr>
                            <w:rFonts w:ascii="Arial" w:eastAsia="宋体" w:hAnsi="Arial" w:cs="Arial"/>
                            <w:kern w:val="0"/>
                            <w:sz w:val="16"/>
                            <w:szCs w:val="16"/>
                          </w:rPr>
                        </w:pPr>
                        <w:r w:rsidRPr="00952584">
                          <w:rPr>
                            <w:rFonts w:ascii="Arial" w:eastAsia="宋体" w:hAnsi="Arial" w:cs="Arial"/>
                            <w:kern w:val="0"/>
                            <w:sz w:val="16"/>
                            <w:szCs w:val="16"/>
                          </w:rPr>
                          <w:t xml:space="preserve">　　</w:t>
                        </w:r>
                        <w:r w:rsidRPr="00952584">
                          <w:rPr>
                            <w:rFonts w:ascii="Arial" w:eastAsia="宋体" w:hAnsi="Arial" w:cs="Arial"/>
                            <w:kern w:val="0"/>
                            <w:sz w:val="16"/>
                            <w:szCs w:val="16"/>
                          </w:rPr>
                          <w:t>2016</w:t>
                        </w:r>
                        <w:r w:rsidRPr="00952584">
                          <w:rPr>
                            <w:rFonts w:ascii="Arial" w:eastAsia="宋体" w:hAnsi="Arial" w:cs="Arial"/>
                            <w:kern w:val="0"/>
                            <w:sz w:val="16"/>
                            <w:szCs w:val="16"/>
                          </w:rPr>
                          <w:t>年</w:t>
                        </w:r>
                        <w:r w:rsidRPr="00952584">
                          <w:rPr>
                            <w:rFonts w:ascii="Arial" w:eastAsia="宋体" w:hAnsi="Arial" w:cs="Arial"/>
                            <w:kern w:val="0"/>
                            <w:sz w:val="16"/>
                            <w:szCs w:val="16"/>
                          </w:rPr>
                          <w:t>11</w:t>
                        </w:r>
                        <w:r w:rsidRPr="00952584">
                          <w:rPr>
                            <w:rFonts w:ascii="Arial" w:eastAsia="宋体" w:hAnsi="Arial" w:cs="Arial"/>
                            <w:kern w:val="0"/>
                            <w:sz w:val="16"/>
                            <w:szCs w:val="16"/>
                          </w:rPr>
                          <w:t>月</w:t>
                        </w:r>
                        <w:r w:rsidRPr="00952584">
                          <w:rPr>
                            <w:rFonts w:ascii="Arial" w:eastAsia="宋体" w:hAnsi="Arial" w:cs="Arial"/>
                            <w:kern w:val="0"/>
                            <w:sz w:val="16"/>
                            <w:szCs w:val="16"/>
                          </w:rPr>
                          <w:t>10</w:t>
                        </w:r>
                        <w:r w:rsidRPr="00952584">
                          <w:rPr>
                            <w:rFonts w:ascii="Arial" w:eastAsia="宋体" w:hAnsi="Arial" w:cs="Arial"/>
                            <w:kern w:val="0"/>
                            <w:sz w:val="16"/>
                            <w:szCs w:val="16"/>
                          </w:rPr>
                          <w:t>日</w:t>
                        </w:r>
                      </w:p>
                    </w:tc>
                  </w:tr>
                  <w:tr w:rsidR="00952584" w:rsidRPr="00952584">
                    <w:trPr>
                      <w:tblCellSpacing w:w="0" w:type="dxa"/>
                      <w:jc w:val="center"/>
                      <w:hidden/>
                    </w:trPr>
                    <w:tc>
                      <w:tcPr>
                        <w:tcW w:w="550" w:type="pct"/>
                        <w:hideMark/>
                      </w:tcPr>
                      <w:p w:rsidR="00952584" w:rsidRPr="00952584" w:rsidRDefault="00952584" w:rsidP="00952584">
                        <w:pPr>
                          <w:widowControl/>
                          <w:spacing w:before="100" w:beforeAutospacing="1" w:after="100" w:afterAutospacing="1" w:line="432" w:lineRule="auto"/>
                          <w:jc w:val="left"/>
                          <w:rPr>
                            <w:rFonts w:ascii="Arial" w:eastAsia="宋体" w:hAnsi="Arial" w:cs="Arial"/>
                            <w:vanish/>
                            <w:kern w:val="0"/>
                            <w:sz w:val="16"/>
                            <w:szCs w:val="16"/>
                          </w:rPr>
                        </w:pPr>
                        <w:r w:rsidRPr="00952584">
                          <w:rPr>
                            <w:rFonts w:ascii="Arial" w:eastAsia="宋体" w:hAnsi="Arial" w:cs="Arial"/>
                            <w:vanish/>
                            <w:kern w:val="0"/>
                            <w:sz w:val="16"/>
                            <w:szCs w:val="16"/>
                          </w:rPr>
                          <w:lastRenderedPageBreak/>
                          <w:t>附件下载</w:t>
                        </w:r>
                        <w:r w:rsidRPr="00952584">
                          <w:rPr>
                            <w:rFonts w:ascii="Arial" w:eastAsia="宋体" w:hAnsi="Arial" w:cs="Arial"/>
                            <w:vanish/>
                            <w:kern w:val="0"/>
                            <w:sz w:val="16"/>
                            <w:szCs w:val="16"/>
                          </w:rPr>
                          <w:t>:</w:t>
                        </w:r>
                      </w:p>
                    </w:tc>
                    <w:tc>
                      <w:tcPr>
                        <w:tcW w:w="4450" w:type="pct"/>
                        <w:hideMark/>
                      </w:tcPr>
                      <w:p w:rsidR="00952584" w:rsidRPr="00952584" w:rsidRDefault="00952584" w:rsidP="00952584">
                        <w:pPr>
                          <w:widowControl/>
                          <w:jc w:val="left"/>
                          <w:rPr>
                            <w:rFonts w:ascii="Arial" w:eastAsia="宋体" w:hAnsi="Arial" w:cs="Arial"/>
                            <w:vanish/>
                            <w:kern w:val="0"/>
                            <w:sz w:val="16"/>
                            <w:szCs w:val="16"/>
                          </w:rPr>
                        </w:pPr>
                        <w:r w:rsidRPr="00952584">
                          <w:rPr>
                            <w:rFonts w:ascii="Arial" w:eastAsia="宋体" w:hAnsi="Arial" w:cs="Arial"/>
                            <w:vanish/>
                            <w:kern w:val="0"/>
                            <w:sz w:val="16"/>
                            <w:szCs w:val="16"/>
                          </w:rPr>
                          <w:pict/>
                        </w:r>
                      </w:p>
                    </w:tc>
                  </w:tr>
                </w:tbl>
                <w:p w:rsidR="00952584" w:rsidRPr="00952584" w:rsidRDefault="00952584" w:rsidP="00952584">
                  <w:pPr>
                    <w:widowControl/>
                    <w:spacing w:line="432" w:lineRule="auto"/>
                    <w:jc w:val="center"/>
                    <w:rPr>
                      <w:rFonts w:ascii="Arial" w:eastAsia="宋体" w:hAnsi="Arial" w:cs="Arial"/>
                      <w:kern w:val="0"/>
                      <w:sz w:val="12"/>
                      <w:szCs w:val="12"/>
                    </w:rPr>
                  </w:pPr>
                </w:p>
              </w:tc>
            </w:tr>
          </w:tbl>
          <w:p w:rsidR="00952584" w:rsidRPr="00952584" w:rsidRDefault="00952584" w:rsidP="00952584">
            <w:pPr>
              <w:widowControl/>
              <w:spacing w:line="432" w:lineRule="auto"/>
              <w:jc w:val="left"/>
              <w:rPr>
                <w:rFonts w:ascii="Arial" w:eastAsia="宋体" w:hAnsi="Arial" w:cs="Arial"/>
                <w:kern w:val="0"/>
                <w:sz w:val="12"/>
                <w:szCs w:val="12"/>
              </w:rPr>
            </w:pPr>
          </w:p>
        </w:tc>
      </w:tr>
    </w:tbl>
    <w:p w:rsidR="000B3CD3" w:rsidRDefault="000B3CD3"/>
    <w:sectPr w:rsidR="000B3CD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CD3" w:rsidRDefault="000B3CD3" w:rsidP="00952584">
      <w:r>
        <w:separator/>
      </w:r>
    </w:p>
  </w:endnote>
  <w:endnote w:type="continuationSeparator" w:id="1">
    <w:p w:rsidR="000B3CD3" w:rsidRDefault="000B3CD3" w:rsidP="009525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CD3" w:rsidRDefault="000B3CD3" w:rsidP="00952584">
      <w:r>
        <w:separator/>
      </w:r>
    </w:p>
  </w:footnote>
  <w:footnote w:type="continuationSeparator" w:id="1">
    <w:p w:rsidR="000B3CD3" w:rsidRDefault="000B3CD3" w:rsidP="009525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2584"/>
    <w:rsid w:val="000B3CD3"/>
    <w:rsid w:val="00952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25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2584"/>
    <w:rPr>
      <w:sz w:val="18"/>
      <w:szCs w:val="18"/>
    </w:rPr>
  </w:style>
  <w:style w:type="paragraph" w:styleId="a4">
    <w:name w:val="footer"/>
    <w:basedOn w:val="a"/>
    <w:link w:val="Char0"/>
    <w:uiPriority w:val="99"/>
    <w:semiHidden/>
    <w:unhideWhenUsed/>
    <w:rsid w:val="009525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2584"/>
    <w:rPr>
      <w:sz w:val="18"/>
      <w:szCs w:val="18"/>
    </w:rPr>
  </w:style>
  <w:style w:type="paragraph" w:styleId="a5">
    <w:name w:val="Normal (Web)"/>
    <w:basedOn w:val="a"/>
    <w:uiPriority w:val="99"/>
    <w:unhideWhenUsed/>
    <w:rsid w:val="0095258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52584"/>
    <w:rPr>
      <w:b/>
      <w:bCs/>
    </w:rPr>
  </w:style>
</w:styles>
</file>

<file path=word/webSettings.xml><?xml version="1.0" encoding="utf-8"?>
<w:webSettings xmlns:r="http://schemas.openxmlformats.org/officeDocument/2006/relationships" xmlns:w="http://schemas.openxmlformats.org/wordprocessingml/2006/main">
  <w:divs>
    <w:div w:id="552927831">
      <w:bodyDiv w:val="1"/>
      <w:marLeft w:val="0"/>
      <w:marRight w:val="0"/>
      <w:marTop w:val="0"/>
      <w:marBottom w:val="0"/>
      <w:divBdr>
        <w:top w:val="none" w:sz="0" w:space="0" w:color="auto"/>
        <w:left w:val="none" w:sz="0" w:space="0" w:color="auto"/>
        <w:bottom w:val="none" w:sz="0" w:space="0" w:color="auto"/>
        <w:right w:val="none" w:sz="0" w:space="0" w:color="auto"/>
      </w:divBdr>
      <w:divsChild>
        <w:div w:id="510529141">
          <w:marLeft w:val="0"/>
          <w:marRight w:val="0"/>
          <w:marTop w:val="0"/>
          <w:marBottom w:val="0"/>
          <w:divBdr>
            <w:top w:val="none" w:sz="0" w:space="0" w:color="auto"/>
            <w:left w:val="none" w:sz="0" w:space="0" w:color="auto"/>
            <w:bottom w:val="none" w:sz="0" w:space="0" w:color="auto"/>
            <w:right w:val="none" w:sz="0" w:space="0" w:color="auto"/>
          </w:divBdr>
          <w:divsChild>
            <w:div w:id="19165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施英</dc:creator>
  <cp:keywords/>
  <dc:description/>
  <cp:lastModifiedBy>施英</cp:lastModifiedBy>
  <cp:revision>3</cp:revision>
  <dcterms:created xsi:type="dcterms:W3CDTF">2016-11-17T06:38:00Z</dcterms:created>
  <dcterms:modified xsi:type="dcterms:W3CDTF">2016-11-17T06:39:00Z</dcterms:modified>
</cp:coreProperties>
</file>